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Расчет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0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налога на добычу </w:t>
      </w:r>
      <w:r>
        <w:rPr>
          <w:color w:val="000000"/>
          <w:sz w:val="28"/>
          <w:szCs w:val="28"/>
        </w:rPr>
        <w:t xml:space="preserve">прочих</w:t>
      </w:r>
      <w:r>
        <w:rPr>
          <w:color w:val="000000"/>
          <w:sz w:val="28"/>
          <w:szCs w:val="28"/>
        </w:rPr>
        <w:t xml:space="preserve"> полезных ископаемых</w:t>
      </w:r>
      <w:r>
        <w:rPr>
          <w:color w:val="000000"/>
          <w:sz w:val="28"/>
          <w:szCs w:val="28"/>
        </w:rPr>
        <w:t xml:space="preserve">, в отношении которых при налогообложении установлен рентный коэффициент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 отличный от 1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(за исключением калийных солей, апатит-нефелиновых, апатит-штаффелитовых руд, апатит-магнетитовых, маложелезистых апатитовых руд</w:t>
      </w:r>
      <w:r>
        <w:rPr>
          <w:color w:val="000000"/>
          <w:sz w:val="28"/>
          <w:szCs w:val="28"/>
        </w:rPr>
        <w:t xml:space="preserve">, апатитовых и фосфоритовых руд)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обл</w:t>
      </w:r>
      <w:r>
        <w:rPr>
          <w:color w:val="000000"/>
          <w:sz w:val="28"/>
          <w:szCs w:val="28"/>
        </w:rPr>
        <w:t xml:space="preserve">а</w:t>
      </w:r>
      <w:r>
        <w:rPr>
          <w:color w:val="000000"/>
          <w:sz w:val="28"/>
          <w:szCs w:val="28"/>
        </w:rPr>
        <w:t xml:space="preserve">стной бюджет на 20</w:t>
      </w:r>
      <w:r>
        <w:rPr>
          <w:color w:val="000000"/>
          <w:sz w:val="28"/>
          <w:szCs w:val="28"/>
        </w:rPr>
        <w:t xml:space="preserve">26</w:t>
      </w:r>
      <w:r>
        <w:rPr>
          <w:color w:val="000000"/>
          <w:sz w:val="28"/>
          <w:szCs w:val="28"/>
        </w:rPr>
        <w:t xml:space="preserve">–</w:t>
      </w:r>
      <w:r>
        <w:rPr>
          <w:color w:val="000000"/>
          <w:sz w:val="28"/>
          <w:szCs w:val="28"/>
        </w:rPr>
        <w:t xml:space="preserve">20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годы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 xml:space="preserve">К</w:t>
      </w:r>
      <w:r>
        <w:rPr>
          <w:color w:val="000000"/>
          <w:sz w:val="16"/>
          <w:szCs w:val="16"/>
        </w:rPr>
        <w:t xml:space="preserve"> ренты</w:t>
      </w:r>
      <w:r>
        <w:rPr>
          <w:color w:val="000000"/>
          <w:sz w:val="28"/>
          <w:szCs w:val="28"/>
        </w:rPr>
        <w:t xml:space="preserve"> = 3,5)</w:t>
      </w:r>
      <w:r>
        <w:rPr>
          <w:color w:val="000000"/>
          <w:sz w:val="28"/>
          <w:szCs w:val="28"/>
        </w:rPr>
        <w:t xml:space="preserve"> </w:t>
      </w:r>
      <w:r>
        <w:rPr>
          <w:b/>
          <w:i/>
          <w:color w:val="000000"/>
        </w:rPr>
        <w:t xml:space="preserve">(</w:t>
      </w:r>
      <w:r>
        <w:rPr>
          <w:b/>
          <w:i/>
          <w:color w:val="000000"/>
        </w:rPr>
        <w:t xml:space="preserve">КБК </w:t>
      </w:r>
      <w:r>
        <w:rPr>
          <w:b/>
          <w:i/>
          <w:color w:val="000000"/>
        </w:rPr>
        <w:t xml:space="preserve">1 07 01080 01 0000 110)</w:t>
      </w:r>
      <w:r>
        <w:rPr>
          <w:color w:val="000000"/>
        </w:rPr>
      </w:r>
      <w:r>
        <w:rPr>
          <w:color w:val="000000"/>
        </w:rPr>
      </w:r>
    </w:p>
    <w:p>
      <w:pPr>
        <w:pStyle w:val="87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0"/>
        <w:jc w:val="right"/>
      </w:pPr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(тыс.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рублей)</w:t>
      </w:r>
      <w:r/>
    </w:p>
    <w:tbl>
      <w:tblPr>
        <w:tblW w:w="10490" w:type="dxa"/>
        <w:tblInd w:w="-821" w:type="dxa"/>
        <w:tblLayout w:type="fixed"/>
        <w:tblCellMar>
          <w:left w:w="30" w:type="dxa"/>
          <w:top w:w="0" w:type="dxa"/>
          <w:right w:w="30" w:type="dxa"/>
          <w:bottom w:w="0" w:type="dxa"/>
        </w:tblCellMar>
        <w:tblLook w:val="04A0" w:firstRow="1" w:lastRow="0" w:firstColumn="1" w:lastColumn="0" w:noHBand="0" w:noVBand="1"/>
      </w:tblPr>
      <w:tblGrid>
        <w:gridCol w:w="456"/>
        <w:gridCol w:w="5356"/>
        <w:gridCol w:w="1540"/>
        <w:gridCol w:w="1481"/>
        <w:gridCol w:w="1657"/>
      </w:tblGrid>
      <w:tr>
        <w:tblPrEx/>
        <w:trPr>
          <w:trHeight w:val="435"/>
          <w:tblHeader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top"/>
            <w:textDirection w:val="lrTb"/>
            <w:noWrap w:val="false"/>
          </w:tcPr>
          <w:p>
            <w:pPr>
              <w:pStyle w:val="87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jc w:val="center"/>
              <w:rPr>
                <w:color w:val="000000"/>
                <w:sz w:val="28"/>
                <w:szCs w:val="28"/>
                <w:highlight w:val="none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45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Стоимость прогнозируемого о</w:t>
            </w:r>
            <w:r>
              <w:rPr>
                <w:color w:val="000000"/>
                <w:sz w:val="28"/>
                <w:szCs w:val="28"/>
              </w:rPr>
              <w:t xml:space="preserve">бъем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 доб</w:t>
            </w:r>
            <w:r>
              <w:rPr>
                <w:color w:val="000000"/>
                <w:sz w:val="28"/>
                <w:szCs w:val="28"/>
              </w:rPr>
              <w:t xml:space="preserve">ы</w:t>
            </w:r>
            <w:r>
              <w:rPr>
                <w:color w:val="000000"/>
                <w:sz w:val="28"/>
                <w:szCs w:val="28"/>
              </w:rPr>
              <w:t xml:space="preserve">чи </w:t>
            </w:r>
            <w:r>
              <w:rPr>
                <w:sz w:val="28"/>
                <w:szCs w:val="28"/>
              </w:rPr>
              <w:t xml:space="preserve">многоко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понентных комплексных руд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а также полезных компонентов многокомпонентной комплексной руды, </w:t>
            </w:r>
            <w:r>
              <w:rPr>
                <w:sz w:val="28"/>
                <w:szCs w:val="28"/>
              </w:rPr>
              <w:t xml:space="preserve">за исключением драгоценных металлов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25 415 046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26 211 957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27 029 890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Ставка налога</w:t>
            </w:r>
            <w:r>
              <w:rPr>
                <w:color w:val="000000"/>
                <w:sz w:val="28"/>
                <w:szCs w:val="28"/>
              </w:rPr>
              <w:t xml:space="preserve">,</w:t>
            </w:r>
            <w:r>
              <w:rPr>
                <w:color w:val="000000"/>
                <w:sz w:val="28"/>
                <w:szCs w:val="28"/>
              </w:rPr>
              <w:t xml:space="preserve"> (%)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8,0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8,0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8,0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45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7 116 213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7 339 348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7 568 369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Стоимость прогнозируемого объема доб</w:t>
            </w:r>
            <w:r>
              <w:rPr>
                <w:color w:val="000000"/>
                <w:sz w:val="28"/>
                <w:szCs w:val="28"/>
              </w:rPr>
              <w:t xml:space="preserve">ы</w:t>
            </w:r>
            <w:r>
              <w:rPr>
                <w:color w:val="000000"/>
                <w:sz w:val="28"/>
                <w:szCs w:val="28"/>
              </w:rPr>
              <w:t xml:space="preserve">чи </w:t>
            </w:r>
            <w:r>
              <w:rPr>
                <w:color w:val="000000"/>
                <w:sz w:val="28"/>
                <w:szCs w:val="28"/>
              </w:rPr>
              <w:t xml:space="preserve">горнорудного неметаллического сырья, </w:t>
            </w:r>
            <w:r>
              <w:rPr>
                <w:color w:val="000000"/>
                <w:sz w:val="28"/>
                <w:szCs w:val="28"/>
              </w:rPr>
              <w:t xml:space="preserve">магнезит, карбоновые породы для металлургии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569 010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712 587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722 386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Ставка налога, (%)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21,0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119 492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149 643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151 701 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</w:pPr>
            <w:r>
              <w:rPr>
                <w:color w:val="000000"/>
                <w:sz w:val="28"/>
                <w:szCs w:val="28"/>
              </w:rPr>
              <w:t xml:space="preserve">3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Стоимость прогнозируемого объема доб</w:t>
            </w:r>
            <w:r>
              <w:rPr>
                <w:color w:val="000000"/>
                <w:sz w:val="28"/>
                <w:szCs w:val="28"/>
              </w:rPr>
              <w:t xml:space="preserve">ы</w:t>
            </w:r>
            <w:r>
              <w:rPr>
                <w:color w:val="000000"/>
                <w:sz w:val="28"/>
                <w:szCs w:val="28"/>
              </w:rPr>
              <w:t xml:space="preserve">чи </w:t>
            </w:r>
            <w:r>
              <w:rPr>
                <w:sz w:val="28"/>
                <w:szCs w:val="28"/>
              </w:rPr>
              <w:t xml:space="preserve">неметаллического сырья, используемого в основном в строительной индустрии </w:t>
            </w:r>
            <w:r>
              <w:rPr>
                <w:color w:val="000000"/>
                <w:sz w:val="28"/>
                <w:szCs w:val="28"/>
              </w:rPr>
              <w:t xml:space="preserve">и другие 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2 814 371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2 846 161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2 929 476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Ставка налога, (%)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19,25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19,25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19,25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541 766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547 886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563 924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9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4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Итого сумма налога на добычу прочих п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лезных ископаемых 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7 777 471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8 036 877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8 283 994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3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Норматив отчислений в областной бю</w:t>
            </w:r>
            <w:r>
              <w:rPr>
                <w:color w:val="000000"/>
                <w:sz w:val="28"/>
                <w:szCs w:val="28"/>
              </w:rPr>
              <w:t xml:space="preserve">д</w:t>
            </w:r>
            <w:r>
              <w:rPr>
                <w:color w:val="000000"/>
                <w:sz w:val="28"/>
                <w:szCs w:val="28"/>
              </w:rPr>
              <w:t xml:space="preserve">жет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17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17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r>
              <w:rPr>
                <w:color w:val="000000"/>
                <w:sz w:val="28"/>
                <w:szCs w:val="28"/>
              </w:rPr>
              <w:t xml:space="preserve">17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82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налога, подлежащая зачисл</w:t>
            </w:r>
            <w:r>
              <w:rPr>
                <w:color w:val="000000"/>
                <w:sz w:val="28"/>
                <w:szCs w:val="28"/>
              </w:rPr>
              <w:t xml:space="preserve">е</w:t>
            </w:r>
            <w:r>
              <w:rPr>
                <w:color w:val="000000"/>
                <w:sz w:val="28"/>
                <w:szCs w:val="28"/>
              </w:rPr>
              <w:t xml:space="preserve">нию в областной бюджет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40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1 322 170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1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1 366 269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57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 </w:t>
            </w:r>
            <w:r>
              <w:rPr>
                <w:sz w:val="28"/>
                <w:szCs w:val="28"/>
                <w:highlight w:val="none"/>
              </w:rPr>
              <w:t xml:space="preserve"> 1 408 279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p>
      <w:r/>
      <w:r/>
    </w:p>
    <w:p>
      <w:pPr>
        <w:pStyle w:val="870"/>
      </w:pPr>
      <w:r/>
      <w:r/>
    </w:p>
    <w:sectPr>
      <w:headerReference w:type="default" r:id="rId8"/>
      <w:headerReference w:type="even" r:id="rId9"/>
      <w:footnotePr/>
      <w:endnotePr/>
      <w:type w:val="nextPage"/>
      <w:pgSz w:w="11907" w:h="16840" w:orient="portrait"/>
      <w:pgMar w:top="426" w:right="567" w:bottom="425" w:left="1985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rPr>
        <w:rStyle w:val="875"/>
      </w:rPr>
      <w:framePr w:wrap="around" w:vAnchor="text" w:hAnchor="margin" w:xAlign="center" w:y="1"/>
    </w:pPr>
    <w:r>
      <w:rPr>
        <w:rStyle w:val="875"/>
      </w:rPr>
      <w:fldChar w:fldCharType="begin"/>
    </w:r>
    <w:r>
      <w:rPr>
        <w:rStyle w:val="875"/>
      </w:rPr>
      <w:instrText xml:space="preserve">PAGE  </w:instrText>
    </w:r>
    <w:r>
      <w:rPr>
        <w:rStyle w:val="875"/>
      </w:rPr>
      <w:fldChar w:fldCharType="separate"/>
    </w:r>
    <w:r>
      <w:rPr>
        <w:rStyle w:val="875"/>
      </w:rPr>
      <w:t xml:space="preserve">2</w:t>
    </w:r>
    <w:r>
      <w:rPr>
        <w:rStyle w:val="875"/>
      </w:rPr>
      <w:fldChar w:fldCharType="end"/>
    </w:r>
    <w:r>
      <w:rPr>
        <w:rStyle w:val="875"/>
      </w:rPr>
    </w:r>
    <w:r>
      <w:rPr>
        <w:rStyle w:val="875"/>
      </w:rPr>
    </w:r>
  </w:p>
  <w:p>
    <w:pPr>
      <w:pStyle w:val="87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rPr>
        <w:rStyle w:val="875"/>
      </w:rPr>
      <w:framePr w:wrap="around" w:vAnchor="text" w:hAnchor="margin" w:xAlign="center" w:y="1"/>
    </w:pPr>
    <w:r>
      <w:rPr>
        <w:rStyle w:val="875"/>
      </w:rPr>
      <w:fldChar w:fldCharType="begin"/>
    </w:r>
    <w:r>
      <w:rPr>
        <w:rStyle w:val="875"/>
      </w:rPr>
      <w:instrText xml:space="preserve">PAGE  </w:instrText>
    </w:r>
    <w:r>
      <w:rPr>
        <w:rStyle w:val="875"/>
      </w:rPr>
      <w:fldChar w:fldCharType="end"/>
    </w:r>
    <w:r>
      <w:rPr>
        <w:rStyle w:val="875"/>
      </w:rPr>
    </w:r>
    <w:r>
      <w:rPr>
        <w:rStyle w:val="875"/>
      </w:rPr>
    </w:r>
  </w:p>
  <w:p>
    <w:pPr>
      <w:pStyle w:val="87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70"/>
    <w:next w:val="870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70"/>
    <w:next w:val="870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70"/>
    <w:next w:val="870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70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next w:val="870"/>
    <w:link w:val="870"/>
    <w:qFormat/>
    <w:rPr>
      <w:sz w:val="24"/>
      <w:szCs w:val="24"/>
      <w:lang w:val="ru-RU" w:eastAsia="ru-RU" w:bidi="ar-SA"/>
    </w:rPr>
  </w:style>
  <w:style w:type="character" w:styleId="871">
    <w:name w:val="Основной шрифт абзаца"/>
    <w:next w:val="871"/>
    <w:link w:val="870"/>
    <w:semiHidden/>
  </w:style>
  <w:style w:type="table" w:styleId="872">
    <w:name w:val="Обычная таблица"/>
    <w:next w:val="872"/>
    <w:link w:val="870"/>
    <w:semiHidden/>
    <w:tblPr/>
  </w:style>
  <w:style w:type="numbering" w:styleId="873">
    <w:name w:val="Нет списка"/>
    <w:next w:val="873"/>
    <w:link w:val="870"/>
    <w:semiHidden/>
  </w:style>
  <w:style w:type="paragraph" w:styleId="874">
    <w:name w:val="Верхний колонтитул"/>
    <w:basedOn w:val="870"/>
    <w:next w:val="874"/>
    <w:link w:val="870"/>
    <w:pPr>
      <w:tabs>
        <w:tab w:val="center" w:pos="4677" w:leader="none"/>
        <w:tab w:val="right" w:pos="9355" w:leader="none"/>
      </w:tabs>
    </w:pPr>
  </w:style>
  <w:style w:type="character" w:styleId="875">
    <w:name w:val="Номер страницы"/>
    <w:basedOn w:val="871"/>
    <w:next w:val="875"/>
    <w:link w:val="870"/>
  </w:style>
  <w:style w:type="paragraph" w:styleId="876">
    <w:name w:val="Текст выноски"/>
    <w:basedOn w:val="870"/>
    <w:next w:val="876"/>
    <w:link w:val="870"/>
    <w:semiHidden/>
    <w:rPr>
      <w:rFonts w:ascii="Tahoma" w:hAnsi="Tahoma" w:cs="Tahoma"/>
      <w:sz w:val="16"/>
      <w:szCs w:val="16"/>
    </w:rPr>
  </w:style>
  <w:style w:type="character" w:styleId="877" w:default="1">
    <w:name w:val="Default Paragraph Font"/>
    <w:uiPriority w:val="1"/>
    <w:semiHidden/>
    <w:unhideWhenUsed/>
  </w:style>
  <w:style w:type="numbering" w:styleId="878" w:default="1">
    <w:name w:val="No List"/>
    <w:uiPriority w:val="99"/>
    <w:semiHidden/>
    <w:unhideWhenUsed/>
  </w:style>
  <w:style w:type="table" w:styleId="87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МФ Оренбургской области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</dc:title>
  <dc:creator>mb2</dc:creator>
  <cp:lastModifiedBy>rti</cp:lastModifiedBy>
  <cp:revision>67</cp:revision>
  <dcterms:created xsi:type="dcterms:W3CDTF">2019-09-25T06:11:00Z</dcterms:created>
  <dcterms:modified xsi:type="dcterms:W3CDTF">2025-10-10T11:38:33Z</dcterms:modified>
  <cp:version>1048576</cp:version>
</cp:coreProperties>
</file>